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76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Технические требования к закупаемой продукции</w:t>
      </w:r>
    </w:p>
    <w:p>
      <w:pPr>
        <w:pStyle w:val="Normal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по лоту № </w:t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 </w:t>
      </w:r>
      <w:r>
        <w:rPr>
          <w:rFonts w:eastAsia="Calibri"/>
          <w:b/>
        </w:rPr>
        <w:t xml:space="preserve">ОКПД Поставка легковых автомобилей в рамках выполнения инвестиционного проекта </w:t>
      </w:r>
    </w:p>
    <w:p>
      <w:pPr>
        <w:pStyle w:val="Normal"/>
        <w:jc w:val="center"/>
        <w:rPr>
          <w:rFonts w:eastAsia="Calibri"/>
          <w:b/>
        </w:rPr>
      </w:pPr>
      <w:r>
        <w:rPr>
          <w:rFonts w:eastAsia="Calibri"/>
          <w:b/>
        </w:rPr>
      </w:r>
      <w:bookmarkStart w:id="0" w:name="_Toc139856287"/>
      <w:bookmarkStart w:id="1" w:name="_Toc137554584"/>
      <w:bookmarkStart w:id="2" w:name="_Toc141696704"/>
      <w:bookmarkStart w:id="3" w:name="_Toc139856287"/>
      <w:bookmarkStart w:id="4" w:name="_Toc137554584"/>
      <w:bookmarkStart w:id="5" w:name="_Toc141696704"/>
      <w:bookmarkEnd w:id="3"/>
      <w:bookmarkEnd w:id="4"/>
      <w:bookmarkEnd w:id="5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sdt>
      <w:sdtPr>
        <w:docPartObj>
          <w:docPartGallery w:val="Table of Contents"/>
          <w:docPartUnique w:val="true"/>
        </w:docPartObj>
        <w:id w:val="1832694690"/>
      </w:sdtPr>
      <w:sdtContent>
        <w:p>
          <w:pPr>
            <w:pStyle w:val="TOCHeading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Общие сведения</w:t>
          </w:r>
          <w:r>
            <w:rPr>
              <w:sz w:val="24"/>
              <w:szCs w:val="24"/>
            </w:rPr>
            <w:tab/>
            <w:t xml:space="preserve">  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Обозначения и сокращения………………………………………………………….....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продукции………………………………………………..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Заказчик (подразделение заказчика)…………………………………………………..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Цель использования закупаемой продукции…………………………………………. 3</w:t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Требования к продукции</w:t>
          </w:r>
          <w:r>
            <w:rPr>
              <w:sz w:val="24"/>
              <w:szCs w:val="24"/>
            </w:rPr>
            <w:tab/>
          </w:r>
          <w:r>
            <w:rPr>
              <w:bCs/>
              <w:sz w:val="24"/>
              <w:szCs w:val="24"/>
            </w:rPr>
            <w:t>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1. «Перечень и объем закупаемой продукции»……………………………...3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2. «Требования по срокам поставки продукции»……………………………3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3. «Требования к продукции»………………………………………………...4</w:t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Требования к документации по ценообразованию на этапе зак</w:t>
          </w:r>
          <w:r>
            <w:rPr>
              <w:b/>
              <w:bCs/>
              <w:sz w:val="24"/>
              <w:szCs w:val="24"/>
            </w:rPr>
            <w:t>упки</w:t>
            <w:tab/>
            <w:t>...9</w:t>
          </w:r>
        </w:p>
        <w:p>
          <w:pPr>
            <w:pStyle w:val="TOC3"/>
            <w:ind w:left="446" w:hanging="0"/>
            <w:rPr/>
          </w:pPr>
          <w:r>
            <w:rPr/>
          </w:r>
        </w:p>
      </w:sdtContent>
    </w:sdt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ListParagraph"/>
        <w:numPr>
          <w:ilvl w:val="0"/>
          <w:numId w:val="5"/>
        </w:numPr>
        <w:jc w:val="center"/>
        <w:rPr>
          <w:b/>
        </w:rPr>
      </w:pPr>
      <w:r>
        <w:rPr>
          <w:b/>
        </w:rPr>
        <w:t>Общие сведения</w:t>
      </w:r>
    </w:p>
    <w:p>
      <w:pPr>
        <w:pStyle w:val="ListParagraph"/>
        <w:ind w:left="360" w:hanging="0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5"/>
        </w:numPr>
        <w:ind w:left="709" w:hanging="709"/>
        <w:rPr>
          <w:b/>
        </w:rPr>
      </w:pPr>
      <w:r>
        <w:rPr>
          <w:b/>
        </w:rPr>
        <w:t>Обозначения и сокращения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7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978"/>
        <w:gridCol w:w="7797"/>
      </w:tblGrid>
      <w:tr>
        <w:trPr>
          <w:tblHeader w:val="true"/>
          <w:trHeight w:val="445" w:hRule="atLeast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>
        <w:trPr>
          <w:tblHeader w:val="true"/>
          <w:trHeight w:val="445" w:hRule="atLeast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>
        <w:trPr>
          <w:tblHeader w:val="true"/>
          <w:trHeight w:val="574" w:hRule="atLeast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>
        <w:trPr>
          <w:trHeight w:val="539" w:hRule="atLeast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Запасные части, инструменты и принадлежности</w:t>
            </w:r>
          </w:p>
        </w:tc>
      </w:tr>
      <w:tr>
        <w:trPr/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Расходные материалы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567" w:leader="none"/>
          <w:tab w:val="left" w:pos="709" w:leader="none"/>
        </w:tabs>
        <w:jc w:val="both"/>
        <w:rPr>
          <w:rFonts w:cs="Calibri"/>
          <w:i/>
          <w:i/>
        </w:rPr>
      </w:pPr>
      <w:r>
        <w:rPr>
          <w:b/>
          <w:bCs/>
        </w:rPr>
        <w:t xml:space="preserve">    </w:t>
      </w:r>
      <w:r>
        <w:rPr>
          <w:b/>
          <w:bCs/>
        </w:rPr>
        <w:t xml:space="preserve">Наименование закупаемой продукции 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rFonts w:cs="Calibri"/>
          <w:u w:val="single"/>
        </w:rPr>
      </w:pPr>
      <w:r>
        <w:rPr/>
        <w:t>Грузовой Соболь  231073 Фермер  ( Бортовой грузовик с тентом  (6 мест) -10 ед.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rFonts w:cs="Calibri"/>
          <w:u w:val="single"/>
        </w:rPr>
      </w:pPr>
      <w:r>
        <w:rPr/>
        <w:t>Минивен Соболь NN 4х4  Минивен  (4х4, 7-местный, пассажирский) - 1ед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rFonts w:cs="Calibri"/>
          <w:u w:val="single"/>
        </w:rPr>
      </w:pPr>
      <w:r>
        <w:rPr>
          <w:rFonts w:cs="Calibri"/>
          <w:u w:val="single"/>
        </w:rPr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rFonts w:cs="Calibri"/>
          <w:u w:val="single"/>
        </w:rPr>
      </w:pPr>
      <w:r>
        <w:rPr>
          <w:rFonts w:cs="Calibri"/>
          <w:u w:val="single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eastAsia="Calibri"/>
        </w:rPr>
      </w:pPr>
      <w:r>
        <w:rPr>
          <w:rFonts w:eastAsia="Calibri"/>
        </w:rPr>
        <w:tab/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567" w:leader="none"/>
        </w:tabs>
        <w:jc w:val="both"/>
        <w:rPr>
          <w:b/>
        </w:rPr>
      </w:pPr>
      <w:r>
        <w:rPr>
          <w:b/>
          <w:bCs/>
        </w:rPr>
        <w:t xml:space="preserve">    </w:t>
      </w:r>
      <w:r>
        <w:rPr>
          <w:b/>
        </w:rPr>
        <w:t>Цель использования закупаемой продукции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Целью использования закупаемой продукции является эксплуатация по назначению для собственных нужд.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67" w:leader="none"/>
        </w:tabs>
        <w:ind w:left="450" w:right="-2" w:hanging="450"/>
        <w:jc w:val="center"/>
        <w:rPr>
          <w:b/>
        </w:rPr>
      </w:pPr>
      <w:r>
        <w:rPr>
          <w:b/>
        </w:rPr>
        <w:t>Требования к продукции</w:t>
      </w:r>
    </w:p>
    <w:p>
      <w:pPr>
        <w:pStyle w:val="ListParagraph"/>
        <w:tabs>
          <w:tab w:val="clear" w:pos="708"/>
          <w:tab w:val="left" w:pos="567" w:leader="none"/>
        </w:tabs>
        <w:ind w:left="45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spacing w:before="0" w:after="240"/>
        <w:ind w:left="1080" w:right="-2" w:hanging="1080"/>
        <w:contextualSpacing/>
        <w:jc w:val="both"/>
        <w:rPr>
          <w:b/>
        </w:rPr>
      </w:pPr>
      <w:r>
        <w:rPr>
          <w:b/>
        </w:rPr>
        <w:t>Таблица 1. «Перечень и объем закупаемой продукции»</w:t>
      </w:r>
    </w:p>
    <w:tbl>
      <w:tblPr>
        <w:tblStyle w:val="afff2"/>
        <w:tblW w:w="9923" w:type="dxa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50"/>
        <w:gridCol w:w="5232"/>
        <w:gridCol w:w="1292"/>
        <w:gridCol w:w="2548"/>
      </w:tblGrid>
      <w:tr>
        <w:trPr/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5232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1292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Единица измерения</w:t>
            </w:r>
          </w:p>
        </w:tc>
        <w:tc>
          <w:tcPr>
            <w:tcW w:w="2548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Количество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5232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92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548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</w:tr>
      <w:tr>
        <w:trPr>
          <w:trHeight w:val="256" w:hRule="atLeast"/>
        </w:trPr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1.</w:t>
            </w:r>
          </w:p>
        </w:tc>
        <w:tc>
          <w:tcPr>
            <w:tcW w:w="5232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Cs/>
                <w:kern w:val="0"/>
                <w:sz w:val="20"/>
                <w:szCs w:val="20"/>
                <w:lang w:val="ru-RU" w:eastAsia="ru-RU" w:bidi="ar-SA"/>
              </w:rPr>
              <w:t>Грузовой Соболь  231073 Фермер  ( Бортовой грузовик с тентом  (6 мест)</w:t>
            </w:r>
          </w:p>
        </w:tc>
        <w:tc>
          <w:tcPr>
            <w:tcW w:w="1292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2548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</w:tc>
      </w:tr>
      <w:tr>
        <w:trPr>
          <w:trHeight w:val="256" w:hRule="atLeast"/>
        </w:trPr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2.</w:t>
            </w:r>
          </w:p>
        </w:tc>
        <w:tc>
          <w:tcPr>
            <w:tcW w:w="5232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right="-2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Минивен Соболь NN 4х4  Минивен  (4х4, 7-местный, пассажирский)</w:t>
            </w:r>
          </w:p>
        </w:tc>
        <w:tc>
          <w:tcPr>
            <w:tcW w:w="1292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2548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</w:tr>
    </w:tbl>
    <w:p>
      <w:pPr>
        <w:pStyle w:val="Normal"/>
        <w:tabs>
          <w:tab w:val="clear" w:pos="708"/>
          <w:tab w:val="left" w:pos="567" w:leader="none"/>
        </w:tabs>
        <w:ind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spacing w:before="0" w:after="240"/>
        <w:ind w:left="1080" w:right="-2" w:hanging="1080"/>
        <w:contextualSpacing/>
        <w:jc w:val="both"/>
        <w:rPr>
          <w:b/>
        </w:rPr>
      </w:pPr>
      <w:r>
        <w:rPr>
          <w:b/>
        </w:rPr>
        <w:t>Таблица 2. «Требования по срокам поставки продукции»</w:t>
      </w:r>
    </w:p>
    <w:tbl>
      <w:tblPr>
        <w:tblStyle w:val="afff2"/>
        <w:tblW w:w="9918" w:type="dxa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8"/>
        <w:gridCol w:w="4681"/>
        <w:gridCol w:w="1845"/>
        <w:gridCol w:w="2543"/>
      </w:tblGrid>
      <w:tr>
        <w:trPr/>
        <w:tc>
          <w:tcPr>
            <w:tcW w:w="8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4681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1845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Требования к началу срока поставки продукции</w:t>
            </w:r>
          </w:p>
        </w:tc>
        <w:tc>
          <w:tcPr>
            <w:tcW w:w="254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Требования к окончанию срока к поставки продукции</w:t>
            </w:r>
          </w:p>
        </w:tc>
      </w:tr>
      <w:tr>
        <w:trPr/>
        <w:tc>
          <w:tcPr>
            <w:tcW w:w="8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4681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845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54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</w:tr>
      <w:tr>
        <w:trPr>
          <w:trHeight w:val="576" w:hRule="atLeast"/>
        </w:trPr>
        <w:tc>
          <w:tcPr>
            <w:tcW w:w="8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1.</w:t>
            </w:r>
          </w:p>
        </w:tc>
        <w:tc>
          <w:tcPr>
            <w:tcW w:w="4681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Cs/>
                <w:kern w:val="0"/>
                <w:sz w:val="20"/>
                <w:szCs w:val="20"/>
                <w:lang w:val="ru-RU" w:eastAsia="ru-RU" w:bidi="ar-SA"/>
              </w:rPr>
              <w:t>Грузовой Соболь  231073 Фермер  ( Бортовой грузовик с тентом  (6 мест)</w:t>
            </w:r>
          </w:p>
        </w:tc>
        <w:tc>
          <w:tcPr>
            <w:tcW w:w="1845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даты подписания договора</w:t>
            </w:r>
          </w:p>
        </w:tc>
        <w:tc>
          <w:tcPr>
            <w:tcW w:w="254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left"/>
              <w:rPr>
                <w:highlight w:val="yellow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Не позднее 90 дней с даты подписания договора</w:t>
            </w:r>
          </w:p>
        </w:tc>
      </w:tr>
      <w:tr>
        <w:trPr>
          <w:trHeight w:val="576" w:hRule="atLeast"/>
        </w:trPr>
        <w:tc>
          <w:tcPr>
            <w:tcW w:w="8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2.</w:t>
            </w:r>
          </w:p>
        </w:tc>
        <w:tc>
          <w:tcPr>
            <w:tcW w:w="4681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kern w:val="0"/>
                <w:sz w:val="20"/>
                <w:szCs w:val="20"/>
                <w:lang w:val="ru-RU" w:eastAsia="ru-RU" w:bidi="ar-SA"/>
              </w:rPr>
              <w:t>Минивен Соболь NN 4х4  Минивен  (4х4, 7-местный, пассажирский)</w:t>
            </w:r>
          </w:p>
        </w:tc>
        <w:tc>
          <w:tcPr>
            <w:tcW w:w="1845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даты подписания договора</w:t>
            </w:r>
          </w:p>
        </w:tc>
        <w:tc>
          <w:tcPr>
            <w:tcW w:w="254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Не позднее 90 дней с даты подписания договора</w:t>
            </w:r>
          </w:p>
        </w:tc>
      </w:tr>
    </w:tbl>
    <w:p>
      <w:pPr>
        <w:sectPr>
          <w:type w:val="nextPage"/>
          <w:pgSz w:w="11906" w:h="16838"/>
          <w:pgMar w:left="1134" w:right="707" w:gutter="0" w:header="0" w:top="568" w:footer="0" w:bottom="567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ind w:left="1080" w:right="-2" w:hanging="1080"/>
        <w:jc w:val="both"/>
        <w:rPr>
          <w:b/>
          <w:bCs/>
        </w:rPr>
      </w:pPr>
      <w:r>
        <w:rPr>
          <w:b/>
          <w:bCs/>
        </w:rPr>
        <w:t>Таблица 3. «Требования к продукции»</w:t>
      </w:r>
    </w:p>
    <w:p>
      <w:pPr>
        <w:pStyle w:val="ListParagraph"/>
        <w:tabs>
          <w:tab w:val="clear" w:pos="708"/>
          <w:tab w:val="left" w:pos="567" w:leader="none"/>
        </w:tabs>
        <w:ind w:left="1080" w:hanging="0"/>
        <w:jc w:val="both"/>
        <w:rPr>
          <w:b/>
          <w:bCs/>
        </w:rPr>
      </w:pPr>
      <w:r>
        <w:rPr>
          <w:b/>
          <w:bCs/>
        </w:rPr>
      </w:r>
    </w:p>
    <w:p>
      <w:pPr>
        <w:pStyle w:val="ListParagraph"/>
        <w:ind w:left="450" w:right="-456" w:firstLine="543"/>
        <w:jc w:val="both"/>
        <w:rPr>
          <w:color w:val="000000"/>
        </w:rPr>
      </w:pPr>
      <w:r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 Отсутствие в составе технико-коммерческого предложения подробного технического описания эквивалента продукции является причиной отклонения предложения Участника.</w:t>
      </w:r>
    </w:p>
    <w:p>
      <w:pPr>
        <w:pStyle w:val="ListParagraph"/>
        <w:tabs>
          <w:tab w:val="clear" w:pos="708"/>
          <w:tab w:val="left" w:pos="567" w:leader="none"/>
        </w:tabs>
        <w:ind w:left="1080" w:hanging="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567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tbl>
      <w:tblPr>
        <w:tblStyle w:val="afff2"/>
        <w:tblW w:w="1522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7"/>
        <w:gridCol w:w="31"/>
        <w:gridCol w:w="4080"/>
        <w:gridCol w:w="52"/>
        <w:gridCol w:w="2926"/>
        <w:gridCol w:w="2784"/>
        <w:gridCol w:w="50"/>
        <w:gridCol w:w="1974"/>
        <w:gridCol w:w="12"/>
        <w:gridCol w:w="2524"/>
        <w:gridCol w:w="80"/>
      </w:tblGrid>
      <w:tr>
        <w:trPr>
          <w:trHeight w:val="346" w:hRule="atLeast"/>
        </w:trPr>
        <w:tc>
          <w:tcPr>
            <w:tcW w:w="738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№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п.п</w:t>
            </w:r>
          </w:p>
        </w:tc>
        <w:tc>
          <w:tcPr>
            <w:tcW w:w="4132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292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Требование заказчика</w:t>
            </w:r>
          </w:p>
        </w:tc>
        <w:tc>
          <w:tcPr>
            <w:tcW w:w="4808" w:type="dxa"/>
            <w:gridSpan w:val="3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bookmarkStart w:id="6" w:name="_Toc129702014"/>
            <w:bookmarkStart w:id="7" w:name="_Toc129702620"/>
            <w:bookmarkStart w:id="8" w:name="_Toc129703220"/>
            <w:bookmarkStart w:id="9" w:name="_Toc129851547"/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Способ подтверждения участником соответствие требованиям</w:t>
            </w:r>
            <w:bookmarkEnd w:id="6"/>
            <w:bookmarkEnd w:id="7"/>
            <w:bookmarkEnd w:id="8"/>
            <w:bookmarkEnd w:id="9"/>
          </w:p>
        </w:tc>
        <w:tc>
          <w:tcPr>
            <w:tcW w:w="2536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bookmarkStart w:id="10" w:name="_Toc129702015"/>
            <w:bookmarkStart w:id="11" w:name="_Toc129702621"/>
            <w:bookmarkStart w:id="12" w:name="_Toc129703221"/>
            <w:bookmarkStart w:id="13" w:name="_Toc129851548"/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Предложение  участника по характеристикам и параметрам</w:t>
            </w:r>
            <w:bookmarkEnd w:id="10"/>
            <w:bookmarkEnd w:id="11"/>
            <w:bookmarkEnd w:id="12"/>
            <w:bookmarkEnd w:id="13"/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46" w:hRule="atLeast"/>
        </w:trPr>
        <w:tc>
          <w:tcPr>
            <w:tcW w:w="738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4132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292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2784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bookmarkStart w:id="14" w:name="_Toc129702016"/>
            <w:bookmarkStart w:id="15" w:name="_Toc129702622"/>
            <w:bookmarkStart w:id="16" w:name="_Toc129703222"/>
            <w:bookmarkStart w:id="17" w:name="_Toc129851549"/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Согласие с требованием/</w:t>
            </w:r>
            <w:bookmarkEnd w:id="14"/>
            <w:bookmarkEnd w:id="15"/>
            <w:bookmarkEnd w:id="16"/>
            <w:bookmarkEnd w:id="17"/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bookmarkStart w:id="18" w:name="_Toc129702017"/>
            <w:bookmarkStart w:id="19" w:name="_Toc129702623"/>
            <w:bookmarkStart w:id="20" w:name="_Toc129703223"/>
            <w:bookmarkStart w:id="21" w:name="_Toc129851550"/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  <w:bookmarkEnd w:id="18"/>
            <w:bookmarkEnd w:id="19"/>
            <w:bookmarkEnd w:id="20"/>
            <w:bookmarkEnd w:id="21"/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536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58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bookmarkStart w:id="22" w:name="_Toc129702025"/>
            <w:bookmarkStart w:id="23" w:name="_Toc129702631"/>
            <w:bookmarkStart w:id="24" w:name="_Toc129703231"/>
            <w:bookmarkStart w:id="25" w:name="_Toc129851559"/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Наименование продукции (позиция № 1 Таблицы 1): </w:t>
            </w:r>
            <w:bookmarkEnd w:id="22"/>
            <w:bookmarkEnd w:id="23"/>
            <w:bookmarkEnd w:id="24"/>
            <w:bookmarkEnd w:id="25"/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 Грузовой Соболь  231073 Фермер  ( Бортовой грузовик с тентом  (6 мест)</w:t>
            </w:r>
          </w:p>
        </w:tc>
        <w:tc>
          <w:tcPr>
            <w:tcW w:w="278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2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58" w:type="dxa"/>
            <w:gridSpan w:val="3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left"/>
              <w:outlineLvl w:val="1"/>
              <w:rPr>
                <w:b/>
                <w:bCs/>
                <w:sz w:val="22"/>
                <w:szCs w:val="22"/>
              </w:rPr>
            </w:pPr>
            <w:bookmarkStart w:id="26" w:name="_Toc129702026"/>
            <w:bookmarkStart w:id="27" w:name="_Toc129702632"/>
            <w:bookmarkStart w:id="28" w:name="_Toc129703232"/>
            <w:bookmarkStart w:id="29" w:name="_Toc129851563"/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техническим и функциональным характеристикам:</w:t>
            </w:r>
            <w:bookmarkEnd w:id="26"/>
            <w:bookmarkEnd w:id="27"/>
            <w:bookmarkEnd w:id="28"/>
            <w:bookmarkEnd w:id="29"/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58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Базовое: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Марка, модель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Цельнометаллическая, двухрядная (6 мест: водитель + 5 пассажиров) ГАЗ-231073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Тип кузова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Бортовой с тентом и каркасом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Колесная формула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4 х 4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Количество мест для сидений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6 мест: водитель + 5 пассажиров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Габаритные размеры (ДхШхВ) мм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5540×2066×2364 мм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Грузоподъемность, кг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Около 1000 кг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618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Технически допустимая макс. масса автомобиля, кг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3120 кг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Максимальная нагрузка на переднюю ось, кг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1420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Максимальная нагрузка на заднюю ось, кг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1470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Колесная база, мм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1550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Колея передних и задних колес, мм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1720-1700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Радиус разворота, м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Угол въезда/ Угол съезда, град.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29/30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Дорожный просвет (до моста), мм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205 мм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36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58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Двигатель: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431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Тип двигателя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10302"/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Бенз</w:t>
            </w:r>
            <w:r>
              <w:rPr>
                <w:rFonts w:eastAsia="Times New Roman" w:cs="Times New Roman"/>
                <w:iCs/>
                <w:color w:val="000000"/>
                <w:spacing w:val="-2"/>
                <w:kern w:val="0"/>
                <w:sz w:val="22"/>
                <w:szCs w:val="22"/>
                <w:lang w:val="ru-RU" w:eastAsia="ru-RU" w:bidi="ar-SA"/>
              </w:rPr>
              <w:t>и</w:t>
            </w:r>
            <w:r>
              <w:rPr>
                <w:rFonts w:eastAsia="Times New Roman" w:cs="Times New Roman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новый, с впрыском топлива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Марка, модель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Бензиновый УМЗ Evotech 2.7 (А275)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Мощность, л.с. (кВТ)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106–107 л. с. (при 4000 об/мин)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Количество и расположение цилиндров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4, рядное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Рабочий объем цилиндров (см3)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2693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Топливо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Бензин АИ-92-K5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36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58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Трансмиссия: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Коробка передач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5-ти ступенчатая механическая 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Сцепление 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Сухое, однодисковое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Тип привода сцепления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Гидравлический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Раздаточная коробка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Механическая, двухступенчатая, с прямой и понижающей передачей. 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Тип мостов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Оба моста имеют жесткую балку, дифференциал конического типа, а их ступицы унифицированы для автомобилей марки ГАЗ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36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58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Ходовая часть: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630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Тип подвески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Рессоры со стабилизатором поперечной устойчивости в передней подвеске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32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Амортизаторы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Гидравлические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Шины  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225/75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en-US" w:eastAsia="ru-RU" w:bidi="ar-SA"/>
              </w:rPr>
              <w:t>R16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36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Системы управления: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Тип рулевого механизма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Гидроусилителем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Тормоза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Передние дисковые, задние барабанные. Гидравлический с вакуумным усилителем, раздельный на передние и задние.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36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58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Топливные баки: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Вместимость топливного бака, л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                 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80л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36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58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Климатическое исполнение и категория размещения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Северное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Температура окружающего воздуха, мин/макс, ºС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-40 / +40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36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58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Назначенный срок службы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менее 7 лет со дня ввода в эксплуатацию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  <w:vAlign w:val="center"/>
          </w:tcPr>
          <w:p>
            <w:pPr>
              <w:pStyle w:val="Heading1"/>
              <w:widowControl w:val="false"/>
              <w:suppressAutoHyphens w:val="true"/>
              <w:spacing w:before="0" w:after="0"/>
              <w:jc w:val="left"/>
              <w:rPr>
                <w:b w:val="false"/>
                <w:bCs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 w:val="false"/>
                <w:bCs/>
                <w:kern w:val="0"/>
                <w:sz w:val="22"/>
                <w:szCs w:val="22"/>
                <w:lang w:val="ru-RU" w:bidi="ar-SA"/>
              </w:rPr>
              <w:t>Изготовление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Продукция должна быть серийного, промышленного производства, произведенной заводом изготовителем с опытом выпуска данной продукции не менее пяти лет, поставляемая продукция должна быть новой, не бывшей в употреблении, изготовленной не ранее 2025г.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Периодичность выполнения и объем ТО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 срокам, установленным производителем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Коэффициент готовности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Готовность к эксплуатации с момента получения автомобиля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36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58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доставке, маркировке, упаковке, транспортировке, условиям хранения: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Место доставки продукции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г. Якутск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Условия поставки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Погрузка и разгрузка в месте доставки осуществляется силами и средствами Поставщика.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Маркировка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Серийный заводской номер (VIN), шильд завода изготовителя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94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Условия транспортирования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Транспортировка стандартными автомобильными, железнодорожными видами транспорта. Транспортировка не должна требовать использования спецтехники, разрешения для перевозки и сопровождения негабаритного груза.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36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58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Срок гарантии на продукцию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Гарантийный срок на поставляемую продукцию, устанавливается предприятием- изготовителем, указывается в Сервисной книжке Товара и/или Гарантийной книжке Товара, 12 месяцев или 30 000 км. в зависимости от того, что наступит ранее и начинает течь с даты подписания Сторонами накладной ТОРГ-12.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Наличие сервисного центра в РФ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 Республике Саха (Якутия)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605" w:hRule="atLeast"/>
        </w:trPr>
        <w:tc>
          <w:tcPr>
            <w:tcW w:w="73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36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58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комплектации и документам, поставляемым вместе с продукцией: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157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Наличие сертификатов соответствия на поставляемую продукцию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Поставляемая продукция должна соответствовать техническому регламенту Таможенного союза средства на поставляемую продукцию.018/2011 «О безопасности колесных транспортных средств». Поставщик обязан предоставить заверенную копию Одобрения типа транспортного типа транспортного средства на поставляемую продукцию.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94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Объем комплектации продукции</w:t>
            </w:r>
          </w:p>
        </w:tc>
        <w:tc>
          <w:tcPr>
            <w:tcW w:w="2926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left="18" w:right="124" w:hanging="0"/>
              <w:jc w:val="left"/>
              <w:rPr>
                <w:b/>
                <w:bCs/>
              </w:rPr>
            </w:pPr>
            <w:r>
              <w:rPr>
                <w:rFonts w:eastAsia="Times New Roman" w:cs="Times New Roman"/>
                <w:kern w:val="0"/>
                <w:lang w:val="ru-RU" w:bidi="ar-SA"/>
              </w:rPr>
              <w:t>Паспорт</w:t>
            </w:r>
            <w:r>
              <w:rPr>
                <w:rFonts w:eastAsia="Times New Roman" w:cs="Times New Roman"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транспортного</w:t>
            </w:r>
            <w:r>
              <w:rPr>
                <w:rFonts w:eastAsia="Times New Roman" w:cs="Times New Roman"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средства – 1 шт.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left="18" w:right="129" w:hanging="0"/>
              <w:jc w:val="left"/>
              <w:rPr>
                <w:b/>
                <w:bCs/>
              </w:rPr>
            </w:pPr>
            <w:r>
              <w:rPr>
                <w:rFonts w:eastAsia="Times New Roman" w:cs="Times New Roman"/>
                <w:kern w:val="0"/>
                <w:lang w:val="ru-RU" w:bidi="ar-SA"/>
              </w:rPr>
              <w:t>Руководство по</w:t>
            </w:r>
            <w:r>
              <w:rPr>
                <w:rFonts w:eastAsia="Times New Roman" w:cs="Times New Roman"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эксплуатации на</w:t>
            </w:r>
            <w:r>
              <w:rPr>
                <w:rFonts w:eastAsia="Times New Roman" w:cs="Times New Roman"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русском</w:t>
            </w:r>
            <w:r>
              <w:rPr>
                <w:rFonts w:eastAsia="Times New Roman" w:cs="Times New Roman"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языке</w:t>
            </w:r>
            <w:r>
              <w:rPr>
                <w:rFonts w:eastAsia="Times New Roman" w:cs="Times New Roman"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– 1</w:t>
            </w:r>
            <w:r>
              <w:rPr>
                <w:rFonts w:eastAsia="Times New Roman" w:cs="Times New Roman"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шт.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left="18" w:right="129" w:hanging="0"/>
              <w:jc w:val="left"/>
              <w:rPr>
                <w:b/>
                <w:bCs/>
              </w:rPr>
            </w:pPr>
            <w:r>
              <w:rPr>
                <w:rFonts w:eastAsia="Times New Roman" w:cs="Times New Roman"/>
                <w:kern w:val="0"/>
                <w:lang w:val="ru-RU" w:bidi="ar-SA"/>
              </w:rPr>
              <w:t>Сервисная</w:t>
            </w:r>
            <w:r>
              <w:rPr>
                <w:rFonts w:eastAsia="Times New Roman" w:cs="Times New Roman"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книжка</w:t>
            </w:r>
            <w:r>
              <w:rPr>
                <w:rFonts w:eastAsia="Times New Roman" w:cs="Times New Roman"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на</w:t>
            </w:r>
            <w:r>
              <w:rPr>
                <w:rFonts w:eastAsia="Times New Roman" w:cs="Times New Roman"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русском</w:t>
            </w:r>
            <w:r>
              <w:rPr>
                <w:rFonts w:eastAsia="Times New Roman" w:cs="Times New Roman"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языке</w:t>
            </w:r>
            <w:r>
              <w:rPr>
                <w:rFonts w:eastAsia="Times New Roman" w:cs="Times New Roman"/>
                <w:spacing w:val="2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–</w:t>
            </w:r>
            <w:r>
              <w:rPr>
                <w:rFonts w:eastAsia="Times New Roman" w:cs="Times New Roman"/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1 шт.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8" w:hanging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Заверенная копия свидетельства (сертификата,</w:t>
            </w:r>
            <w:r>
              <w:rPr>
                <w:rFonts w:eastAsia="Times New Roman" w:cs="Times New Roman"/>
                <w:spacing w:val="-52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декларации)</w:t>
            </w:r>
            <w:r>
              <w:rPr>
                <w:rFonts w:eastAsia="Times New Roman" w:cs="Times New Roman"/>
                <w:spacing w:val="52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соответствия</w:t>
            </w:r>
            <w:r>
              <w:rPr>
                <w:rFonts w:eastAsia="Times New Roman" w:cs="Times New Roman"/>
                <w:spacing w:val="1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– 1 шт.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94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Медицинская аптечка</w:t>
            </w:r>
          </w:p>
        </w:tc>
        <w:tc>
          <w:tcPr>
            <w:tcW w:w="29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94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Знак аварийной остановки, 2 шт., не менее</w:t>
            </w:r>
          </w:p>
        </w:tc>
        <w:tc>
          <w:tcPr>
            <w:tcW w:w="29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9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Упор противооткатный, 2 шт., не менее</w:t>
            </w:r>
          </w:p>
        </w:tc>
        <w:tc>
          <w:tcPr>
            <w:tcW w:w="29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9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35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Дополнительные требования: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9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9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ru-RU" w:eastAsia="ru-RU" w:bidi="ar-SA"/>
              </w:rPr>
              <w:t>В стандартную комплектацию входят гидроусилитель руля (ГУР), подогрев зеркал, блокировка заднего межколёсного дифференциала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95" w:hRule="atLeast"/>
        </w:trPr>
        <w:tc>
          <w:tcPr>
            <w:tcW w:w="738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before="0" w:after="0"/>
              <w:ind w:left="357" w:hanging="3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ru-RU" w:eastAsia="ru-RU" w:bidi="ar-SA"/>
              </w:rPr>
              <w:t>Утепление салона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02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lang w:val="ru-RU" w:eastAsia="ru-RU" w:bidi="ar-SA"/>
              </w:rPr>
              <w:t>2</w:t>
            </w:r>
          </w:p>
        </w:tc>
        <w:tc>
          <w:tcPr>
            <w:tcW w:w="7089" w:type="dxa"/>
            <w:gridSpan w:val="4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(позиция №2 Таблицы 1.)</w:t>
            </w:r>
          </w:p>
        </w:tc>
        <w:tc>
          <w:tcPr>
            <w:tcW w:w="283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  <w:tc>
          <w:tcPr>
            <w:tcW w:w="260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089" w:type="dxa"/>
            <w:gridSpan w:val="4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Базовое: Минивен Соболь NN 4х4  Минивен  (4х4, 7-местный, пассажирский)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Марка, модель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Минивен Соболь NN 4х4  Минивен 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Количество посадочных мест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720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2+2+3 (три ряда сидений)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Габаритные размеры (ДхШхВ), мм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5110×2068×2445 мм.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Грузоподъемность, кг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920 кг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360" w:hang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Полная масса 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3500 кг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Глубина преодолеваемого брода, мм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Не менее 500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Дорожный просвет (до моста), мм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Не менее 220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Максимальная скорость движения, км/ч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ListParagraph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130 км/ч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Объем топливного бака, л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Не менее 80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Максимальный подъем, преодолеваемый автомобилем, полной массой, град.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Не менее 26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7089" w:type="dxa"/>
            <w:gridSpan w:val="4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Двигатель: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Тип двигателя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четырёхтактный дизельный с турбонаддувом и системой Common Rail. 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Марка, модель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G31C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Мощность, л.с.</w:t>
            </w:r>
          </w:p>
        </w:tc>
        <w:tc>
          <w:tcPr>
            <w:tcW w:w="2978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149,6 л.с. (110 кВт).</w:t>
            </w:r>
          </w:p>
        </w:tc>
        <w:tc>
          <w:tcPr>
            <w:tcW w:w="283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360" w:hang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Рабочий объем цилиндров, см3</w:t>
            </w:r>
          </w:p>
        </w:tc>
        <w:tc>
          <w:tcPr>
            <w:tcW w:w="2978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2499 см³</w:t>
            </w:r>
          </w:p>
        </w:tc>
        <w:tc>
          <w:tcPr>
            <w:tcW w:w="283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Система впрыска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Инжектор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Топливо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Дизельное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7089" w:type="dxa"/>
            <w:gridSpan w:val="4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b/>
                <w:bCs/>
                <w:sz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lang w:val="ru-RU" w:eastAsia="ru-RU" w:bidi="ar-SA"/>
              </w:rPr>
              <w:t>Трансмиссия: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Коробка переключения передач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6-ступенчатая механическая, с тросовым приводом.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Раздаточная коробка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с электронным управлением, имеет понижающий редуктор планетарного типа с передаточным числом 2,82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360" w:hang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Тип привода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подключаемый полный (Part-Time).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7089" w:type="dxa"/>
            <w:gridSpan w:val="4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b/>
                <w:bCs/>
                <w:sz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lang w:val="ru-RU" w:eastAsia="ru-RU" w:bidi="ar-SA"/>
              </w:rPr>
              <w:t>Подвеска, тормоза и шины: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Передняя подвеска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независимая, на поперечных рычагах с цилиндрическими винтовыми пружинами и гидравлическими телескопическими амортизаторами, со стабилизатором поперечной устойчивости. 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360" w:hang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Задняя подвеска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зависимая, на продольных полуэллиптических рессорах, с телескопическими амортизаторами и стабилизатором. 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Рулевой механизм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Рулевой привод с ГУР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360" w:hang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Тип рабочих тормозов (Передняя ось/ задняя ось)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дисковые вентилируемые на всех колёсах. 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Колесные диски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6.5JX16; 7JX16; 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Шины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225/75R16C. 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7089" w:type="dxa"/>
            <w:gridSpan w:val="4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Климатическое исполнение и категория размещения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северное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Температура окружающего воздуха, мин/макс, </w:t>
            </w:r>
            <w:r>
              <w:rPr>
                <w:rFonts w:eastAsia="Times New Roman" w:cs="Times New Roman"/>
                <w:kern w:val="0"/>
                <w:sz w:val="24"/>
                <w:szCs w:val="24"/>
                <w:vertAlign w:val="superscript"/>
                <w:lang w:val="ru-RU" w:eastAsia="ru-RU" w:bidi="ar-SA"/>
              </w:rPr>
              <w:t>0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-50/+40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7089" w:type="dxa"/>
            <w:gridSpan w:val="4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Назначенный срок службы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Не менее 10 лет со дня ввода в эксплуатацию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Изготовление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Продукция должна быть серийного, промышленного производства, новой, не бывшей в употреблении, изготовленной не ранее 2024 г.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Коэффициент готовности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Готовность к эксплуатации с момент получения автомобиля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7089" w:type="dxa"/>
            <w:gridSpan w:val="4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доставке, маркировке, упаковке, транспортировке, условиям хранения: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Место доставки продукции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г.Якутск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Способ доставки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Перегон своим ходом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360" w:hang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Маркировка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Серийный заводской номер (VIN), шильд завода изготовителя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Условия доставки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 проведением регламентированного ТО в пути следования и предпродажной подготовки в месте доставки, согласно инструкции по эксплуатации шасси, с обязательным предоставлением подтверждающих документов.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7089" w:type="dxa"/>
            <w:gridSpan w:val="4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гарантиям, гарантийному и послегарантийному обслуживанию: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Наличие сервисного центра в РФ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Республике Саха (Якутия)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360" w:hang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Срок гарантии на продукцию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Гарантийный срок на поставляемую продукцию, устанавливается предприятием- изготовителем, указывается в Сервисной книжке Товара и/или Гарантийной книжке Товара  составляет 12 месяцев или не менее 30 000 км. В зависимости от того, что наступит ранее и начинает течь с даты подписания Сторонами накладной ТОРГ-12.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7089" w:type="dxa"/>
            <w:gridSpan w:val="4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комплектации и документам, поставляемым вместе с продукцией: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Объем комплектации продукции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left="18" w:right="124" w:hanging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bidi="ar-SA"/>
              </w:rPr>
              <w:t>Паспорт</w:t>
            </w:r>
            <w:r>
              <w:rPr>
                <w:rFonts w:eastAsia="Times New Roman" w:cs="Times New Roman"/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bidi="ar-SA"/>
              </w:rPr>
              <w:t>транспортного</w:t>
            </w:r>
            <w:r>
              <w:rPr>
                <w:rFonts w:eastAsia="Times New Roman" w:cs="Times New Roman"/>
                <w:spacing w:val="-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bidi="ar-SA"/>
              </w:rPr>
              <w:t>средства – 1 шт.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left="18" w:right="129" w:hanging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bidi="ar-SA"/>
              </w:rPr>
              <w:t>Руководство по</w:t>
            </w:r>
            <w:r>
              <w:rPr>
                <w:rFonts w:eastAsia="Times New Roman" w:cs="Times New Roman"/>
                <w:spacing w:val="-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bidi="ar-SA"/>
              </w:rPr>
              <w:t>эксплуатации на</w:t>
            </w:r>
            <w:r>
              <w:rPr>
                <w:rFonts w:eastAsia="Times New Roman" w:cs="Times New Roman"/>
                <w:spacing w:val="-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bidi="ar-SA"/>
              </w:rPr>
              <w:t>русском</w:t>
            </w:r>
            <w:r>
              <w:rPr>
                <w:rFonts w:eastAsia="Times New Roman" w:cs="Times New Roman"/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bidi="ar-SA"/>
              </w:rPr>
              <w:t>языке</w:t>
            </w:r>
            <w:r>
              <w:rPr>
                <w:rFonts w:eastAsia="Times New Roman" w:cs="Times New Roman"/>
                <w:spacing w:val="-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bidi="ar-SA"/>
              </w:rPr>
              <w:t>– 2</w:t>
            </w:r>
            <w:r>
              <w:rPr>
                <w:rFonts w:eastAsia="Times New Roman" w:cs="Times New Roman"/>
                <w:spacing w:val="-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bidi="ar-SA"/>
              </w:rPr>
              <w:t>шт. (оригинал, з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аверенная производителем копия, электронная копия); сервисная книжка на русском языке — 1 шт.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Наличие свидетельства (ОТТС) соответствия поставляемой продукции регламенту ТС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Поставляемая продукция должна соответствовать техническому регламенту Таможенного союза средства на поставляемую продукцию.018/2011 «О безопасности колесных транспортных средств». Поставщик обязан предоставить заверенную копию Одобрения (или сертификат соответствия) типа транспортного средства на поставляемую продукцию.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0"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Медицинская аптечка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да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0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ru-RU" w:eastAsia="ru-RU" w:bidi="ar-SA"/>
              </w:rPr>
              <w:t>2.49</w:t>
            </w:r>
          </w:p>
        </w:tc>
        <w:tc>
          <w:tcPr>
            <w:tcW w:w="4111" w:type="dxa"/>
            <w:gridSpan w:val="2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Знак аварийной остановки</w:t>
            </w:r>
          </w:p>
        </w:tc>
        <w:tc>
          <w:tcPr>
            <w:tcW w:w="297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Не менее 2 шт.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6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4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TOC1"/>
        <w:numPr>
          <w:ilvl w:val="0"/>
          <w:numId w:val="0"/>
        </w:numPr>
        <w:tabs>
          <w:tab w:val="left" w:pos="426" w:leader="none"/>
          <w:tab w:val="left" w:pos="567" w:leader="none"/>
          <w:tab w:val="left" w:pos="2268" w:leader="none"/>
          <w:tab w:val="right" w:pos="9639" w:leader="dot"/>
        </w:tabs>
        <w:ind w:left="720" w:hanging="0"/>
        <w:outlineLvl w:val="0"/>
        <w:rPr>
          <w:b/>
        </w:rPr>
      </w:pPr>
      <w:r>
        <w:rPr>
          <w:b/>
        </w:rPr>
      </w:r>
    </w:p>
    <w:p>
      <w:pPr>
        <w:pStyle w:val="TOC1"/>
        <w:numPr>
          <w:ilvl w:val="0"/>
          <w:numId w:val="0"/>
        </w:numPr>
        <w:tabs>
          <w:tab w:val="left" w:pos="426" w:leader="none"/>
          <w:tab w:val="left" w:pos="567" w:leader="none"/>
          <w:tab w:val="left" w:pos="2268" w:leader="none"/>
          <w:tab w:val="right" w:pos="9639" w:leader="dot"/>
        </w:tabs>
        <w:ind w:left="720" w:hanging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3.Требования к документации по ценообразованию на этапе закупки</w:t>
      </w:r>
    </w:p>
    <w:p>
      <w:pPr>
        <w:pStyle w:val="ListParagraph"/>
        <w:numPr>
          <w:ilvl w:val="0"/>
          <w:numId w:val="6"/>
        </w:numPr>
        <w:ind w:left="851" w:hanging="360"/>
        <w:jc w:val="both"/>
        <w:rPr>
          <w:sz w:val="22"/>
          <w:szCs w:val="22"/>
        </w:rPr>
      </w:pPr>
      <w:r>
        <w:rPr>
          <w:sz w:val="22"/>
          <w:szCs w:val="22"/>
        </w:rPr>
        <w:t>В обоснование стоимости своей заявке Участник предоставляет Коммерческое предложение по форме, приведенной в Документации о закупке.</w:t>
      </w:r>
    </w:p>
    <w:p>
      <w:pPr>
        <w:pStyle w:val="ListParagraph"/>
        <w:numPr>
          <w:ilvl w:val="0"/>
          <w:numId w:val="6"/>
        </w:numPr>
        <w:ind w:left="851" w:hanging="360"/>
        <w:jc w:val="both"/>
        <w:rPr>
          <w:sz w:val="22"/>
          <w:szCs w:val="22"/>
        </w:rPr>
      </w:pPr>
      <w:r>
        <w:rPr>
          <w:sz w:val="22"/>
          <w:szCs w:val="22"/>
        </w:rPr>
        <w:t>Дополнительные документы по ценообразованию в состав заявки не включаются.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sectPr>
      <w:type w:val="nextPage"/>
      <w:pgSz w:orient="landscape" w:w="16838" w:h="11906"/>
      <w:pgMar w:left="567" w:right="1135" w:gutter="0" w:header="0" w:top="426" w:footer="0" w:bottom="70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8"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20" w:hanging="720"/>
      </w:pPr>
      <w:rPr>
        <w:sz w:val="22"/>
        <w:b w:val="false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semiHidden="1"/>
    <w:lsdException w:name="toc 2" w:uiPriority="39" w:semiHidden="1" w:qFormat="1"/>
    <w:lsdException w:name="toc 3" w:uiPriority="39" w:semiHidden="1"/>
    <w:lsdException w:name="toc 4" w:semiHidden="1" w:qFormat="1"/>
    <w:lsdException w:name="toc 5" w:semiHidden="1" w:qFormat="1"/>
    <w:lsdException w:name="toc 9" w:semiHidden="1" w:qFormat="1"/>
    <w:lsdException w:name="footnote text" w:uiPriority="99" w:semiHidden="1"/>
    <w:lsdException w:name="annotation text" w:semiHidden="1" w:qFormat="1"/>
    <w:lsdException w:name="caption" w:uiPriority="35" w:qFormat="1"/>
    <w:lsdException w:name="footnote reference" w:uiPriority="99" w:semiHidden="1"/>
    <w:lsdException w:name="annotation reference" w:semiHidden="1" w:qFormat="1"/>
    <w:lsdException w:name="Title" w:uiPriority="10" w:qFormat="1"/>
    <w:lsdException w:name="Default Paragraph Font" w:uiPriority="1" w:semiHidden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uiPriority="99" w:semiHidden="1" w:unhideWhenUsed="1"/>
    <w:lsdException w:name="HTML Bottom of Form" w:uiPriority="99" w:semiHidden="1" w:unhideWhenUsed="1"/>
    <w:lsdException w:name="Normal (Web)" w:qFormat="1"/>
    <w:lsdException w:name="Normal Table" w:uiPriority="99" w:semiHidden="1" w:unhideWhenUsed="1"/>
    <w:lsdException w:name="annotation subject" w:semiHidden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jc w:val="center"/>
      <w:outlineLvl w:val="0"/>
    </w:pPr>
    <w:rPr>
      <w:b/>
      <w:sz w:val="24"/>
      <w:szCs w:val="20"/>
      <w:lang w:val="zh-CN" w:eastAsia="zh-CN"/>
    </w:rPr>
  </w:style>
  <w:style w:type="paragraph" w:styleId="Heading2">
    <w:name w:val="Heading 2"/>
    <w:basedOn w:val="Normal"/>
    <w:next w:val="Normal"/>
    <w:link w:val="2"/>
    <w:uiPriority w:val="9"/>
    <w:qFormat/>
    <w:pPr>
      <w:keepNext w:val="true"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Heading3">
    <w:name w:val="Heading 3"/>
    <w:basedOn w:val="Normal"/>
    <w:next w:val="Normal"/>
    <w:link w:val="3"/>
    <w:uiPriority w:val="9"/>
    <w:qFormat/>
    <w:pPr>
      <w:keepNext w:val="true"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Heading4">
    <w:name w:val="Heading 4"/>
    <w:basedOn w:val="Normal"/>
    <w:next w:val="Normal"/>
    <w:link w:val="4"/>
    <w:uiPriority w:val="9"/>
    <w:qFormat/>
    <w:pPr>
      <w:keepNext w:val="true"/>
      <w:spacing w:before="240" w:after="60"/>
      <w:outlineLvl w:val="3"/>
    </w:pPr>
    <w:rPr>
      <w:b/>
      <w:bCs/>
      <w:lang w:val="zh-CN" w:eastAsia="zh-CN"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uiPriority w:val="99"/>
    <w:semiHidden/>
    <w:qFormat/>
    <w:rPr>
      <w:vertAlign w:val="superscript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Emphasis">
    <w:name w:val="Emphasis"/>
    <w:uiPriority w:val="20"/>
    <w:qFormat/>
    <w:rPr>
      <w:i/>
      <w:iCs/>
    </w:rPr>
  </w:style>
  <w:style w:type="character" w:styleId="Hyperlink" w:customStyle="1">
    <w:name w:val="Hyperlink"/>
    <w:rPr>
      <w:color w:val="0000FF"/>
      <w:u w:val="single"/>
    </w:rPr>
  </w:style>
  <w:style w:type="character" w:styleId="Pagenumber">
    <w:name w:val="page number"/>
    <w:basedOn w:val="DefaultParagraphFont"/>
    <w:qFormat/>
    <w:rPr/>
  </w:style>
  <w:style w:type="character" w:styleId="Strong">
    <w:name w:val="Strong"/>
    <w:uiPriority w:val="22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  <w:lang w:val="zh-CN" w:eastAsia="zh-CN"/>
    </w:rPr>
  </w:style>
  <w:style w:type="character" w:styleId="1" w:customStyle="1">
    <w:name w:val="Заголовок 1 Знак"/>
    <w:uiPriority w:val="9"/>
    <w:qFormat/>
    <w:rPr>
      <w:b/>
      <w:sz w:val="24"/>
    </w:rPr>
  </w:style>
  <w:style w:type="character" w:styleId="2" w:customStyle="1">
    <w:name w:val="Заголовок 2 Знак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styleId="3" w:customStyle="1">
    <w:name w:val="Заголовок 3 Знак"/>
    <w:uiPriority w:val="9"/>
    <w:qFormat/>
    <w:rPr>
      <w:rFonts w:ascii="Arial" w:hAnsi="Arial" w:cs="Arial"/>
      <w:b/>
      <w:bCs/>
      <w:sz w:val="26"/>
      <w:szCs w:val="26"/>
    </w:rPr>
  </w:style>
  <w:style w:type="character" w:styleId="4" w:customStyle="1">
    <w:name w:val="Заголовок 4 Знак"/>
    <w:uiPriority w:val="9"/>
    <w:qFormat/>
    <w:rPr>
      <w:b/>
      <w:bCs/>
      <w:sz w:val="28"/>
      <w:szCs w:val="28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8"/>
    <w:uiPriority w:val="10"/>
    <w:qFormat/>
    <w:rPr>
      <w:sz w:val="28"/>
    </w:rPr>
  </w:style>
  <w:style w:type="character" w:styleId="Style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  <w:lang w:val="zh-CN" w:eastAsia="zh-CN"/>
    </w:rPr>
  </w:style>
  <w:style w:type="character" w:styleId="Style3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  <w:lang w:val="zh-CN" w:eastAsia="zh-CN"/>
    </w:rPr>
  </w:style>
  <w:style w:type="character" w:styleId="11" w:customStyle="1">
    <w:name w:val="Слабое выделение1"/>
    <w:uiPriority w:val="19"/>
    <w:qFormat/>
    <w:rPr>
      <w:i/>
      <w:iCs/>
      <w:color w:val="808080"/>
    </w:rPr>
  </w:style>
  <w:style w:type="character" w:styleId="12" w:customStyle="1">
    <w:name w:val="Сильное выделение1"/>
    <w:uiPriority w:val="21"/>
    <w:qFormat/>
    <w:rPr>
      <w:b/>
      <w:bCs/>
      <w:i/>
      <w:iCs/>
      <w:color w:val="4F81BD"/>
    </w:rPr>
  </w:style>
  <w:style w:type="character" w:styleId="13" w:customStyle="1">
    <w:name w:val="Слабая ссылка1"/>
    <w:uiPriority w:val="31"/>
    <w:qFormat/>
    <w:rPr>
      <w:smallCaps/>
      <w:color w:val="C0504D"/>
      <w:u w:val="single"/>
    </w:rPr>
  </w:style>
  <w:style w:type="character" w:styleId="14" w:customStyle="1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styleId="15" w:customStyle="1">
    <w:name w:val="Название книги1"/>
    <w:uiPriority w:val="33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6" w:customStyle="1">
    <w:name w:val="Подпункт Знак1"/>
    <w:link w:val="Style15"/>
    <w:qFormat/>
    <w:locked/>
    <w:rPr>
      <w:sz w:val="28"/>
    </w:rPr>
  </w:style>
  <w:style w:type="character" w:styleId="Style5" w:customStyle="1">
    <w:name w:val="Текст сноски Знак"/>
    <w:uiPriority w:val="99"/>
    <w:semiHidden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Style7" w:customStyle="1">
    <w:name w:val="Абзац списка Знак"/>
    <w:link w:val="ListParagraph"/>
    <w:qFormat/>
    <w:rPr>
      <w:rFonts w:eastAsia="Calibri"/>
      <w:sz w:val="24"/>
      <w:szCs w:val="24"/>
    </w:rPr>
  </w:style>
  <w:style w:type="character" w:styleId="FollowedHyperlink" w:customStyle="1">
    <w:name w:val="FollowedHyperlink"/>
    <w:basedOn w:val="DefaultParagraphFont"/>
    <w:rsid w:val="009c5439"/>
    <w:rPr>
      <w:color w:val="954F72" w:themeColor="followedHyperlink"/>
      <w:u w:val="single"/>
    </w:rPr>
  </w:style>
  <w:style w:type="character" w:styleId="Style8" w:customStyle="1">
    <w:name w:val="Основной текст с отступом Знак"/>
    <w:basedOn w:val="DefaultParagraphFont"/>
    <w:qFormat/>
    <w:rsid w:val="0030620c"/>
    <w:rPr>
      <w:sz w:val="24"/>
      <w:szCs w:val="24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next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Indexheading1">
    <w:name w:val="index heading1"/>
    <w:basedOn w:val="Title"/>
    <w:qFormat/>
    <w:pPr/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Annotationtext">
    <w:name w:val="annotation text"/>
    <w:basedOn w:val="Normal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FootnoteText">
    <w:name w:val="Footnote Text"/>
    <w:basedOn w:val="Normal"/>
    <w:link w:val="Style5"/>
    <w:uiPriority w:val="99"/>
    <w:semiHidden/>
    <w:pPr/>
    <w:rPr>
      <w:sz w:val="20"/>
      <w:szCs w:val="20"/>
    </w:rPr>
  </w:style>
  <w:style w:type="paragraph" w:styleId="Style11" w:customStyle="1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TOC9">
    <w:name w:val="TOC 9"/>
    <w:basedOn w:val="Normal"/>
    <w:next w:val="Normal"/>
    <w:semiHidden/>
    <w:qFormat/>
    <w:pPr>
      <w:ind w:left="2240" w:hanging="0"/>
    </w:pPr>
    <w:rPr/>
  </w:style>
  <w:style w:type="paragraph" w:styleId="TOC1">
    <w:name w:val="TOC 1"/>
    <w:basedOn w:val="Normal"/>
    <w:next w:val="Normal"/>
    <w:uiPriority w:val="39"/>
    <w:pPr>
      <w:tabs>
        <w:tab w:val="clear" w:pos="708"/>
        <w:tab w:val="left" w:pos="426" w:leader="none"/>
        <w:tab w:val="left" w:pos="2268" w:leader="none"/>
        <w:tab w:val="right" w:pos="9639" w:leader="dot"/>
      </w:tabs>
    </w:pPr>
    <w:rPr/>
  </w:style>
  <w:style w:type="paragraph" w:styleId="TOC3">
    <w:name w:val="TOC 3"/>
    <w:basedOn w:val="Normal"/>
    <w:next w:val="Normal"/>
    <w:uiPriority w:val="39"/>
    <w:pPr>
      <w:ind w:left="560" w:hanging="0"/>
    </w:pPr>
    <w:rPr/>
  </w:style>
  <w:style w:type="paragraph" w:styleId="TOC2">
    <w:name w:val="TOC 2"/>
    <w:basedOn w:val="Normal"/>
    <w:next w:val="Normal"/>
    <w:uiPriority w:val="39"/>
    <w:qFormat/>
    <w:pPr>
      <w:ind w:left="280" w:hanging="0"/>
    </w:pPr>
    <w:rPr/>
  </w:style>
  <w:style w:type="paragraph" w:styleId="TOC4">
    <w:name w:val="TOC 4"/>
    <w:basedOn w:val="Normal"/>
    <w:next w:val="Normal"/>
    <w:semiHidden/>
    <w:qFormat/>
    <w:pPr>
      <w:ind w:left="840" w:hanging="0"/>
    </w:pPr>
    <w:rPr/>
  </w:style>
  <w:style w:type="paragraph" w:styleId="TOC5">
    <w:name w:val="TOC 5"/>
    <w:basedOn w:val="Normal"/>
    <w:next w:val="Normal"/>
    <w:semiHidden/>
    <w:qFormat/>
    <w:pPr>
      <w:ind w:left="1120" w:hanging="0"/>
    </w:pPr>
    <w:rPr/>
  </w:style>
  <w:style w:type="paragraph" w:styleId="BodyTextIndent">
    <w:name w:val="Body Text Indent"/>
    <w:basedOn w:val="Normal"/>
    <w:link w:val="Style8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Subtitle">
    <w:name w:val="Subtitle"/>
    <w:basedOn w:val="Normal"/>
    <w:next w:val="Normal"/>
    <w:link w:val="Style2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E-mailSignature">
    <w:name w:val="E-mail Signature"/>
    <w:basedOn w:val="Normal"/>
    <w:link w:val="Style4"/>
    <w:uiPriority w:val="99"/>
    <w:unhideWhenUsed/>
    <w:qFormat/>
    <w:pPr/>
    <w:rPr>
      <w:rFonts w:eastAsia="Calibri"/>
      <w:sz w:val="24"/>
      <w:szCs w:val="24"/>
      <w:lang w:val="zh-CN" w:eastAsia="zh-CN"/>
    </w:rPr>
  </w:style>
  <w:style w:type="paragraph" w:styleId="Style12" w:customStyle="1">
    <w:name w:val="Название раздела инструкции"/>
    <w:basedOn w:val="Normal"/>
    <w:qFormat/>
    <w:pPr/>
    <w:rPr>
      <w:b/>
      <w:sz w:val="22"/>
      <w:szCs w:val="22"/>
    </w:rPr>
  </w:style>
  <w:style w:type="paragraph" w:styleId="Style13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4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17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2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1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8" w:customStyle="1">
    <w:name w:val="Название1"/>
    <w:basedOn w:val="Normal"/>
    <w:link w:val="Style1"/>
    <w:uiPriority w:val="10"/>
    <w:qFormat/>
    <w:pPr>
      <w:jc w:val="center"/>
    </w:pPr>
    <w:rPr>
      <w:szCs w:val="20"/>
      <w:lang w:val="zh-CN" w:eastAsia="zh-CN"/>
    </w:rPr>
  </w:style>
  <w:style w:type="paragraph" w:styleId="Style15" w:customStyle="1">
    <w:name w:val="Подпункт"/>
    <w:basedOn w:val="Normal"/>
    <w:link w:val="16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zh-CN" w:eastAsia="zh-CN"/>
    </w:rPr>
  </w:style>
  <w:style w:type="paragraph" w:styleId="23" w:customStyle="1">
    <w:name w:val="Пункт2"/>
    <w:basedOn w:val="Normal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Style16" w:customStyle="1">
    <w:name w:val="Раздел регламента"/>
    <w:basedOn w:val="Normal"/>
    <w:qFormat/>
    <w:pPr/>
    <w:rPr/>
  </w:style>
  <w:style w:type="paragraph" w:styleId="Style17" w:customStyle="1">
    <w:name w:val="Приложение к регламенту"/>
    <w:basedOn w:val="Normal"/>
    <w:qFormat/>
    <w:pPr>
      <w:jc w:val="right"/>
    </w:pPr>
    <w:rPr/>
  </w:style>
  <w:style w:type="paragraph" w:styleId="24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18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Style7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  <w:lang w:val="zh-CN" w:eastAsia="zh-CN"/>
    </w:rPr>
  </w:style>
  <w:style w:type="paragraph" w:styleId="IntenseQuote">
    <w:name w:val="Intense Quote"/>
    <w:basedOn w:val="Normal"/>
    <w:next w:val="Normal"/>
    <w:link w:val="Style3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zh-CN" w:eastAsia="zh-CN"/>
    </w:rPr>
  </w:style>
  <w:style w:type="paragraph" w:styleId="19" w:customStyle="1">
    <w:name w:val="Заголовок оглавления1"/>
    <w:basedOn w:val="Heading1"/>
    <w:next w:val="Normal"/>
    <w:uiPriority w:val="39"/>
    <w:qFormat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Style19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2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5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110" w:customStyle="1">
    <w:name w:val="Рецензия1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3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0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1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1" w:customStyle="1">
    <w:name w:val="Таблица"/>
    <w:basedOn w:val="Normal"/>
    <w:qFormat/>
    <w:pPr/>
    <w:rPr>
      <w:sz w:val="20"/>
      <w:szCs w:val="20"/>
    </w:rPr>
  </w:style>
  <w:style w:type="paragraph" w:styleId="IndexHeading">
    <w:name w:val="Index Heading"/>
    <w:basedOn w:val="Style9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9c5439"/>
    <w:pPr>
      <w:keepLines/>
      <w:spacing w:lineRule="auto" w:line="259" w:before="240" w:after="0"/>
      <w:jc w:val="left"/>
      <w:outlineLvl w:val="9"/>
    </w:pPr>
    <w:rPr>
      <w:rFonts w:ascii="Calibri Light" w:hAnsi="Calibri Light" w:eastAsia="等线 Light" w:cs="" w:asciiTheme="majorHAnsi" w:cstheme="majorBidi" w:eastAsiaTheme="majorEastAsia" w:hAnsiTheme="majorHAnsi"/>
      <w:b w:val="false"/>
      <w:color w:val="2E74B5" w:themeColor="accent1" w:themeShade="bf"/>
      <w:sz w:val="32"/>
      <w:szCs w:val="32"/>
      <w:lang w:val="ru-RU" w:eastAsia="ru-RU"/>
    </w:rPr>
  </w:style>
  <w:style w:type="paragraph" w:styleId="TableParagraph" w:customStyle="1">
    <w:name w:val="Table Paragraph"/>
    <w:basedOn w:val="Normal"/>
    <w:uiPriority w:val="1"/>
    <w:qFormat/>
    <w:rsid w:val="006558fa"/>
    <w:pPr>
      <w:widowControl w:val="false"/>
    </w:pPr>
    <w:rPr>
      <w:sz w:val="22"/>
      <w:szCs w:val="22"/>
      <w:lang w:eastAsia="en-US"/>
    </w:rPr>
  </w:style>
  <w:style w:type="paragraph" w:styleId="Style22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3" w:customStyle="1">
    <w:name w:val="Заголовок таблицы"/>
    <w:basedOn w:val="Style22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2">
    <w:name w:val="Table Grid"/>
    <w:basedOn w:val="a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98DBE-2872-434E-A62E-97D5825FE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3059</TotalTime>
  <Application>AlterOffice/3.4.0.9$Linux_X86_64 LibreOffice_project/b8daf9e823b1a5463a2f48435ddc2e8696e7d4fc</Application>
  <AppVersion>15.0000</AppVersion>
  <Pages>13</Pages>
  <Words>1819</Words>
  <Characters>12759</Characters>
  <CharactersWithSpaces>14109</CharactersWithSpaces>
  <Paragraphs>538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2022-07-29T09:27:00Z</dcterms:created>
  <dc:creator>ErmolaevKA</dc:creator>
  <dc:description/>
  <dc:language>ru-RU</dc:language>
  <cp:lastModifiedBy>shirginyua@Elektra.local</cp:lastModifiedBy>
  <cp:lastPrinted>2023-03-23T05:51:00Z</cp:lastPrinted>
  <dcterms:modified xsi:type="dcterms:W3CDTF">2026-08-07T11:49:08Z</dcterms:modified>
  <cp:revision>85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CE2D845143BA4BA490382C3EE4D28569</vt:lpwstr>
  </property>
  <property fmtid="{D5CDD505-2E9C-101B-9397-08002B2CF9AE}" pid="3" name="KSOProductBuildVer">
    <vt:lpwstr>1049-11.2.0.11254</vt:lpwstr>
  </property>
</Properties>
</file>